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3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1400"/>
        <w:gridCol w:w="2377"/>
        <w:gridCol w:w="168"/>
        <w:gridCol w:w="950"/>
        <w:gridCol w:w="322"/>
        <w:gridCol w:w="4120"/>
      </w:tblGrid>
      <w:tr w:rsidR="00580997" w:rsidRPr="00857981" w14:paraId="16BCA583" w14:textId="77777777" w:rsidTr="00D018C7">
        <w:trPr>
          <w:trHeight w:val="729"/>
          <w:tblCellSpacing w:w="28" w:type="dxa"/>
        </w:trPr>
        <w:tc>
          <w:tcPr>
            <w:tcW w:w="4946" w:type="pct"/>
            <w:gridSpan w:val="7"/>
            <w:shd w:val="clear" w:color="auto" w:fill="auto"/>
            <w:tcMar>
              <w:top w:w="85" w:type="dxa"/>
              <w:bottom w:w="85" w:type="dxa"/>
            </w:tcMar>
          </w:tcPr>
          <w:p w14:paraId="566FB697" w14:textId="77777777" w:rsidR="00580997" w:rsidRPr="006A7E68" w:rsidRDefault="009804FE" w:rsidP="00580997">
            <w:pPr>
              <w:jc w:val="right"/>
              <w:rPr>
                <w:b/>
                <w:color w:val="FFFFFF" w:themeColor="background1"/>
                <w:sz w:val="72"/>
                <w:szCs w:val="5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99205" wp14:editId="1AA3B92A">
                      <wp:simplePos x="0" y="0"/>
                      <wp:positionH relativeFrom="column">
                        <wp:posOffset>-56828</wp:posOffset>
                      </wp:positionH>
                      <wp:positionV relativeFrom="paragraph">
                        <wp:posOffset>-56515</wp:posOffset>
                      </wp:positionV>
                      <wp:extent cx="4499610" cy="38227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961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966D2" w14:textId="77777777" w:rsidR="006A7E68" w:rsidRPr="006A7E68" w:rsidRDefault="006A7E68" w:rsidP="006A7E6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A7E68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>Live a more comfortable retirement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99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4.45pt;margin-top:-4.45pt;width:354.3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hRdAIAAGsFAAAOAAAAZHJzL2Uyb0RvYy54bWysVNtu2zAMfR+wfxD0vjhJu7Q16hRZiwwD&#10;irZYOvRZkaXGmCxqlBI7+/pSsnNZN2DosBebEm/i4SEvr9rasI1CX4Et+Ggw5ExZCWVlnwv+7XH+&#10;4ZwzH4QthQGrCr5Vnl9N37+7bFyuxrACUypkFMT6vHEFX4Xg8izzcqVq4QfglCWlBqxFoCM+ZyWK&#10;hqLXJhsPh5OsASwdglTe0+1Np+TTFF9rJcO91l4FZgpObwvpi+m7jN9seinyZxRuVcn+GeIfXlGL&#10;ylLSfagbEQRbY/VbqLqSCB50GEioM9C6kirVQNWMhq+qWayEU6kWAse7PUz+/4WVd5uFe0AW2k/Q&#10;UgMjII3zuafLWE+rsY5/eikjPUG43cOm2sAkXZ6eXlxMRqSSpDs5H4/PEq7ZwduhD58V1CwKBUdq&#10;S0JLbG59oIxkujOJyTyYqpxXxqRDpIK6Nsg2gpoopFQ2pHeS1y+WxrKm4JOTj8MU3EIM0UU3NoZS&#10;iRB9ykOVSQpbo6KNsV+VZlWZiv1r/mQdrTSleotjb3941VucuzrII2UGG/bOdWUBU/Vpgg6wld93&#10;kOnOnkA/qjuKoV22ffeXUG6JFAjdvHgn5xV17lb48CCQBoSaTUMf7umjDRDq0EucrQB//uk+2hNv&#10;SctZQwNXcP9jLVBxZr5YYvQZjXOc0HQ4maQDHmuWxxq7rq+B6DCi9eJkEskZg9mJGqF+ot0wi1lJ&#10;Jayk3AWXAXeH69AtAtouUs1myYym0olwaxdOxuAR4MjMx/ZJoOvpG4j4d7AbTpG/YnFnGz29m60D&#10;sTBRPELc4dpDTxOdmN9vn7gyjs/J6rAjpy8AAAD//wMAUEsDBBQABgAIAAAAIQDpGN4j3AAAAAgB&#10;AAAPAAAAZHJzL2Rvd25yZXYueG1sTI/BTsMwDIbvSLxDZCRuW9ohxlqaTtMkuMBlKxduWWOaisYp&#10;TdaWt8dISOxkWf+vz5+L7ew6MeIQWk8K0mUCAqn2pqVGwVv1tNiACFGT0Z0nVPCNAbbl9VWhc+Mn&#10;OuB4jI1gCIVcK7Ax9rmUobbodFj6HomzDz84HXkdGmkGPTHcdXKVJGvpdEt8weoe9xbrz+PZMeV9&#10;fH7xu9TZVbV/PUyJ+aqqTKnbm3n3CCLiHP/L8KvP6lCy08mfyQTRKVhsMm7+Tc7XWfYA4qTgPr0D&#10;WRby8oHyBwAA//8DAFBLAQItABQABgAIAAAAIQC2gziS/gAAAOEBAAATAAAAAAAAAAAAAAAAAAAA&#10;AABbQ29udGVudF9UeXBlc10ueG1sUEsBAi0AFAAGAAgAAAAhADj9If/WAAAAlAEAAAsAAAAAAAAA&#10;AAAAAAAALwEAAF9yZWxzLy5yZWxzUEsBAi0AFAAGAAgAAAAhABCpOFF0AgAAawUAAA4AAAAAAAAA&#10;AAAAAAAALgIAAGRycy9lMm9Eb2MueG1sUEsBAi0AFAAGAAgAAAAhAOkY3iPcAAAACAEAAA8AAAAA&#10;AAAAAAAAAAAAzgQAAGRycy9kb3ducmV2LnhtbFBLBQYAAAAABAAEAPMAAADXBQAAAAA=&#10;" fillcolor="#00703c [3204]" stroked="f" strokeweight=".5pt">
                      <v:textbox style="mso-fit-shape-to-text:t" inset="2mm,1mm,2mm,1mm">
                        <w:txbxContent>
                          <w:p w14:paraId="72F966D2" w14:textId="77777777" w:rsidR="006A7E68" w:rsidRPr="006A7E68" w:rsidRDefault="006A7E68" w:rsidP="006A7E6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7E68">
                              <w:rPr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Live a more comfortable retirement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E6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330BD" wp14:editId="13718A25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197485</wp:posOffset>
                      </wp:positionV>
                      <wp:extent cx="3312000" cy="396000"/>
                      <wp:effectExtent l="19050" t="285750" r="22225" b="28511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15775">
                                <a:off x="0" y="0"/>
                                <a:ext cx="33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80852" w14:textId="77777777" w:rsidR="006A7E68" w:rsidRPr="006A7E68" w:rsidRDefault="006A7E68" w:rsidP="006A7E6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A7E68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>without selling your home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30BD" id="Text Box 19" o:spid="_x0000_s1027" type="#_x0000_t202" style="position:absolute;left:0;text-align:left;margin-left:242.05pt;margin-top:15.55pt;width:260.8pt;height:31.2pt;rotation:-63812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dFfwIAAIEFAAAOAAAAZHJzL2Uyb0RvYy54bWysVEtvEzEQviPxHyzf6SaN2kLUTRVaFSFV&#10;bUWLena8drPC6zHjSXbDr2fs3TwocCjiYo09429e38z5Rdc4sTYYa/ClHB+NpDBeQ1X751J+fbx+&#10;916KSMpXyoE3pdyYKC9mb9+ct2FqjmEJrjIoGMTHaRtKuSQK06KIemkaFY8gGM9KC9go4is+FxWq&#10;ltEbVxyPRqdFC1gFBG1i5NerXilnGd9ao+nO2mhIuFJybJRPzOcincXsXE2fUYVlrYcw1D9E0aja&#10;s9Md1JUiJVZY/wbV1BohgqUjDU0B1tba5Bw4m/HoRTYPSxVMzoWLE8OuTPH/werb9UO4R0HdR+i4&#10;gakgbYjTyI8pn85iIxC4bsfj0fjk7Owkp8mBCzbnim52VTQdCc2Pk8mYO8MqzbrJh9MkM2rRgyXQ&#10;gJE+GWhEEkqJ3KWMqtY3kXrTrUkyj+Dq6rp2Ll8SM8ylQ7FW3FOltfE0GRz8Yum8aEt5OjkZZXAP&#10;CaJHdz5BmcyPweU+6SzRxplk4/wXY0Vd5WT/6j+XjRPM1snKsqvXfBzs91G95nOfB//InsHT7nNT&#10;e8CcfR6ofdmqb9uQbW/P/TnIO4nULTpO/IATC6g2TJXMBm5vDPq65gbeqEj3Cnls+JFXAd3xYR1w&#10;8WGQpFgC/vjTe7JnNrNWipbHsJTx+0qhkcJ99szzs55KlC+TzCWBh5rFocavmktgVoxzdFnkmJDc&#10;VrQIzRNvjHnyyirlNfsupSbcXi6pXw+8c7SZz7MZz2pQdOMfgk7gqc6JoI/dk8IwsJiY/7ewHVk1&#10;fUHm3jb9jGG+IiZjZnqqdF/XoQM853lWhp2UFsnhPVvtN+fsJwAAAP//AwBQSwMEFAAGAAgAAAAh&#10;AMx2UkrgAAAACgEAAA8AAABkcnMvZG93bnJldi54bWxMj8tOwzAQRfdI/IM1SOyonfRBCZlUBYRQ&#10;WSC1INZuPMQRsR1st0n/HncFq9Foju6cW65G07Ej+dA6i5BNBDCytVOtbRA+3p9vlsBClFbJzllC&#10;OFGAVXV5UcpCucFu6biLDUshNhQSQcfYF5yHWpORYeJ6sun25byRMa2+4crLIYWbjudCLLiRrU0f&#10;tOzpUVP9vTsYhJfNa262n0a/PS2G/Gd90j7SA+L11bi+BxZpjH8wnPWTOlTJae8OVgXWIcyWsyyh&#10;CNMszTMgxPwW2B7hbjoHXpX8f4XqFwAA//8DAFBLAQItABQABgAIAAAAIQC2gziS/gAAAOEBAAAT&#10;AAAAAAAAAAAAAAAAAAAAAABbQ29udGVudF9UeXBlc10ueG1sUEsBAi0AFAAGAAgAAAAhADj9If/W&#10;AAAAlAEAAAsAAAAAAAAAAAAAAAAALwEAAF9yZWxzLy5yZWxzUEsBAi0AFAAGAAgAAAAhAGTqZ0V/&#10;AgAAgQUAAA4AAAAAAAAAAAAAAAAALgIAAGRycy9lMm9Eb2MueG1sUEsBAi0AFAAGAAgAAAAhAMx2&#10;UkrgAAAACgEAAA8AAAAAAAAAAAAAAAAA2QQAAGRycy9kb3ducmV2LnhtbFBLBQYAAAAABAAEAPMA&#10;AADmBQAAAAA=&#10;" fillcolor="#4d9a77 [3206]" stroked="f" strokeweight=".5pt">
                      <v:textbox style="mso-fit-shape-to-text:t" inset="2mm,1mm,2mm,1mm">
                        <w:txbxContent>
                          <w:p w14:paraId="10D80852" w14:textId="77777777" w:rsidR="006A7E68" w:rsidRPr="006A7E68" w:rsidRDefault="006A7E68" w:rsidP="006A7E6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7E68">
                              <w:rPr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without selling your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09FC" w:rsidRPr="00857981" w14:paraId="05D6D9C1" w14:textId="77777777" w:rsidTr="00BB7E20">
        <w:trPr>
          <w:trHeight w:val="1013"/>
          <w:tblCellSpacing w:w="28" w:type="dxa"/>
        </w:trPr>
        <w:tc>
          <w:tcPr>
            <w:tcW w:w="4946" w:type="pct"/>
            <w:gridSpan w:val="7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264038" w14:textId="77777777" w:rsidR="00C97ED6" w:rsidRPr="000C74BD" w:rsidRDefault="00C97ED6" w:rsidP="002F2530">
            <w:pPr>
              <w:rPr>
                <w:sz w:val="22"/>
                <w:szCs w:val="18"/>
              </w:rPr>
            </w:pPr>
            <w:r w:rsidRPr="000C74BD">
              <w:rPr>
                <w:b/>
                <w:sz w:val="28"/>
                <w:szCs w:val="22"/>
              </w:rPr>
              <w:t>We have a retirement income gap</w:t>
            </w:r>
            <w:r w:rsidRPr="000C74BD">
              <w:rPr>
                <w:sz w:val="22"/>
                <w:szCs w:val="18"/>
              </w:rPr>
              <w:t xml:space="preserve"> </w:t>
            </w:r>
          </w:p>
          <w:p w14:paraId="7C7A95EF" w14:textId="77777777" w:rsidR="008F09FC" w:rsidRPr="005F604D" w:rsidRDefault="009D1B24" w:rsidP="009D1B24">
            <w:pPr>
              <w:rPr>
                <w:sz w:val="18"/>
                <w:szCs w:val="18"/>
              </w:rPr>
            </w:pPr>
            <w:r w:rsidRPr="009D1B24">
              <w:rPr>
                <w:szCs w:val="18"/>
              </w:rPr>
              <w:t>We</w:t>
            </w:r>
            <w:r w:rsidR="008F09FC" w:rsidRPr="009D1B24">
              <w:rPr>
                <w:szCs w:val="18"/>
              </w:rPr>
              <w:t xml:space="preserve"> are living longer than ever before. Unfortunately, not everyone has enough savings to fund their retirement </w:t>
            </w:r>
            <w:r w:rsidRPr="009D1B24">
              <w:rPr>
                <w:szCs w:val="18"/>
              </w:rPr>
              <w:t>and many Australians are unable to enjoy the retirement they deserve</w:t>
            </w:r>
            <w:r w:rsidR="008F09FC" w:rsidRPr="009D1B24">
              <w:rPr>
                <w:szCs w:val="18"/>
              </w:rPr>
              <w:t>.</w:t>
            </w:r>
            <w:r w:rsidRPr="009D1B24">
              <w:rPr>
                <w:szCs w:val="18"/>
              </w:rPr>
              <w:t xml:space="preserve"> </w:t>
            </w:r>
            <w:r w:rsidR="008F09FC" w:rsidRPr="009D1B24">
              <w:rPr>
                <w:szCs w:val="18"/>
              </w:rPr>
              <w:t>But downsizing or relying on credit cards are not the only options available.​</w:t>
            </w:r>
          </w:p>
        </w:tc>
      </w:tr>
      <w:tr w:rsidR="005D4DE1" w:rsidRPr="00857981" w14:paraId="71EB55EE" w14:textId="77777777" w:rsidTr="00D018C7">
        <w:trPr>
          <w:tblCellSpacing w:w="28" w:type="dxa"/>
        </w:trPr>
        <w:tc>
          <w:tcPr>
            <w:tcW w:w="4946" w:type="pct"/>
            <w:gridSpan w:val="7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6C7232" w14:textId="77777777" w:rsidR="00C97ED6" w:rsidRPr="000C74BD" w:rsidRDefault="00C97ED6" w:rsidP="002F2530">
            <w:pPr>
              <w:rPr>
                <w:sz w:val="22"/>
                <w:szCs w:val="18"/>
              </w:rPr>
            </w:pPr>
            <w:r w:rsidRPr="000C74BD">
              <w:rPr>
                <w:b/>
                <w:sz w:val="28"/>
                <w:szCs w:val="22"/>
              </w:rPr>
              <w:t>What is a reverse mortgage?</w:t>
            </w:r>
            <w:r w:rsidRPr="000C74BD">
              <w:rPr>
                <w:sz w:val="22"/>
                <w:szCs w:val="18"/>
              </w:rPr>
              <w:t xml:space="preserve"> </w:t>
            </w:r>
          </w:p>
          <w:p w14:paraId="41659AAA" w14:textId="77777777" w:rsidR="005D4DE1" w:rsidRPr="00BA7322" w:rsidRDefault="005D4DE1" w:rsidP="00077179">
            <w:pPr>
              <w:spacing w:after="60"/>
            </w:pPr>
            <w:r w:rsidRPr="009D1B24">
              <w:rPr>
                <w:szCs w:val="18"/>
              </w:rPr>
              <w:t>A reverse mortgage is like a regular home loan that has been designed to meet the needs of seniors. It c</w:t>
            </w:r>
            <w:r w:rsidR="00077179">
              <w:rPr>
                <w:szCs w:val="18"/>
              </w:rPr>
              <w:t>ould</w:t>
            </w:r>
            <w:r w:rsidRPr="009D1B24">
              <w:rPr>
                <w:szCs w:val="18"/>
              </w:rPr>
              <w:t xml:space="preserve"> allow you to access the equity in your home to fund a more comfortable retirement, while continuing to own and live in your home.</w:t>
            </w:r>
          </w:p>
        </w:tc>
      </w:tr>
      <w:tr w:rsidR="00C176C4" w:rsidRPr="00857981" w14:paraId="4C0D532B" w14:textId="77777777" w:rsidTr="00D018C7">
        <w:trPr>
          <w:tblCellSpacing w:w="28" w:type="dxa"/>
        </w:trPr>
        <w:tc>
          <w:tcPr>
            <w:tcW w:w="4946" w:type="pct"/>
            <w:gridSpan w:val="7"/>
            <w:shd w:val="clear" w:color="auto" w:fill="4D9A77" w:themeFill="accent3"/>
            <w:tcMar>
              <w:top w:w="85" w:type="dxa"/>
              <w:bottom w:w="85" w:type="dxa"/>
            </w:tcMar>
            <w:vAlign w:val="center"/>
          </w:tcPr>
          <w:p w14:paraId="6C4C740F" w14:textId="77777777" w:rsidR="008F09FC" w:rsidRPr="002654FA" w:rsidRDefault="00D37AC8" w:rsidP="00BF66A5">
            <w:pPr>
              <w:rPr>
                <w:sz w:val="22"/>
                <w:szCs w:val="22"/>
              </w:rPr>
            </w:pPr>
            <w:r w:rsidRPr="000C74BD">
              <w:rPr>
                <w:b/>
                <w:color w:val="FFFFFF" w:themeColor="background1"/>
                <w:sz w:val="28"/>
                <w:szCs w:val="22"/>
              </w:rPr>
              <w:t>The benefits of a reverse mortgage</w:t>
            </w:r>
          </w:p>
        </w:tc>
      </w:tr>
      <w:tr w:rsidR="0070011B" w:rsidRPr="00857981" w14:paraId="0C313291" w14:textId="77777777" w:rsidTr="008F605C">
        <w:trPr>
          <w:trHeight w:val="812"/>
          <w:tblCellSpacing w:w="28" w:type="dxa"/>
        </w:trPr>
        <w:tc>
          <w:tcPr>
            <w:tcW w:w="457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3C6BDE" w14:textId="77777777" w:rsidR="006D584D" w:rsidRPr="005F604D" w:rsidRDefault="006D584D" w:rsidP="00AB7D70">
            <w:pPr>
              <w:jc w:val="center"/>
              <w:rPr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05CD6BDC" wp14:editId="34AF962A">
                  <wp:extent cx="422905" cy="432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144" t="2945" r="22721" b="67924"/>
                          <a:stretch/>
                        </pic:blipFill>
                        <pic:spPr bwMode="auto">
                          <a:xfrm>
                            <a:off x="0" y="0"/>
                            <a:ext cx="422905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2F5EB" w14:textId="77777777" w:rsidR="006D584D" w:rsidRPr="008F605C" w:rsidRDefault="006D584D" w:rsidP="00077179">
            <w:pPr>
              <w:spacing w:line="216" w:lineRule="auto"/>
              <w:rPr>
                <w:szCs w:val="18"/>
              </w:rPr>
            </w:pPr>
            <w:r w:rsidRPr="008F605C">
              <w:rPr>
                <w:szCs w:val="18"/>
              </w:rPr>
              <w:t>No regular repayments are required, though</w:t>
            </w:r>
            <w:r w:rsidR="00077179">
              <w:rPr>
                <w:szCs w:val="18"/>
              </w:rPr>
              <w:t xml:space="preserve"> dependent on</w:t>
            </w:r>
            <w:r w:rsidR="006C023A">
              <w:rPr>
                <w:szCs w:val="18"/>
              </w:rPr>
              <w:t xml:space="preserve"> reverse mortgage</w:t>
            </w:r>
            <w:r w:rsidR="00077179">
              <w:rPr>
                <w:szCs w:val="18"/>
              </w:rPr>
              <w:t xml:space="preserve"> provider voluntary repayments may</w:t>
            </w:r>
            <w:r w:rsidRPr="008F605C">
              <w:rPr>
                <w:szCs w:val="18"/>
              </w:rPr>
              <w:t xml:space="preserve"> be made. </w:t>
            </w:r>
          </w:p>
        </w:tc>
        <w:tc>
          <w:tcPr>
            <w:tcW w:w="4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A12325" w14:textId="77777777" w:rsidR="006D584D" w:rsidRPr="005F604D" w:rsidRDefault="006D584D" w:rsidP="00AB7D7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4F20886C" wp14:editId="2E1E75CC">
                  <wp:extent cx="421200" cy="368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143" t="5529" r="16327" b="58187"/>
                          <a:stretch/>
                        </pic:blipFill>
                        <pic:spPr bwMode="auto">
                          <a:xfrm>
                            <a:off x="0" y="0"/>
                            <a:ext cx="421200" cy="368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CE160F" w14:textId="1DEB85FE" w:rsidR="006D584D" w:rsidRPr="0070011B" w:rsidRDefault="00077179" w:rsidP="00077179">
            <w:pPr>
              <w:spacing w:line="216" w:lineRule="auto"/>
              <w:rPr>
                <w:szCs w:val="18"/>
              </w:rPr>
            </w:pPr>
            <w:r>
              <w:rPr>
                <w:szCs w:val="18"/>
              </w:rPr>
              <w:t>Some r</w:t>
            </w:r>
            <w:r w:rsidR="006D584D" w:rsidRPr="008F605C">
              <w:rPr>
                <w:szCs w:val="18"/>
              </w:rPr>
              <w:t xml:space="preserve">everse mortgages </w:t>
            </w:r>
            <w:r>
              <w:rPr>
                <w:szCs w:val="18"/>
              </w:rPr>
              <w:t>can be</w:t>
            </w:r>
            <w:r w:rsidR="006D584D" w:rsidRPr="008F605C">
              <w:rPr>
                <w:szCs w:val="18"/>
              </w:rPr>
              <w:t xml:space="preserve"> tailored to provide </w:t>
            </w:r>
            <w:r w:rsidR="00C94439" w:rsidRPr="008F605C">
              <w:rPr>
                <w:szCs w:val="18"/>
              </w:rPr>
              <w:t xml:space="preserve">flexible </w:t>
            </w:r>
            <w:r w:rsidR="006D584D" w:rsidRPr="008F605C">
              <w:rPr>
                <w:szCs w:val="18"/>
              </w:rPr>
              <w:t xml:space="preserve">access to what you need, when you need it, </w:t>
            </w:r>
            <w:r w:rsidR="003F23B9" w:rsidRPr="008F605C">
              <w:rPr>
                <w:szCs w:val="18"/>
              </w:rPr>
              <w:t>through</w:t>
            </w:r>
            <w:r w:rsidR="006D584D" w:rsidRPr="008F605C">
              <w:rPr>
                <w:szCs w:val="18"/>
              </w:rPr>
              <w:t xml:space="preserve"> a lump sum, regular payment</w:t>
            </w:r>
            <w:r>
              <w:rPr>
                <w:szCs w:val="18"/>
              </w:rPr>
              <w:t>s</w:t>
            </w:r>
            <w:r w:rsidR="006D584D" w:rsidRPr="008F605C">
              <w:rPr>
                <w:szCs w:val="18"/>
              </w:rPr>
              <w:t xml:space="preserve">, </w:t>
            </w:r>
            <w:r w:rsidR="002668CD">
              <w:rPr>
                <w:szCs w:val="18"/>
              </w:rPr>
              <w:t>cash reserve,</w:t>
            </w:r>
            <w:r>
              <w:rPr>
                <w:szCs w:val="18"/>
              </w:rPr>
              <w:t xml:space="preserve"> redraw</w:t>
            </w:r>
            <w:r w:rsidR="006D584D" w:rsidRPr="008F605C">
              <w:rPr>
                <w:szCs w:val="18"/>
              </w:rPr>
              <w:t xml:space="preserve"> or a combination.</w:t>
            </w:r>
          </w:p>
        </w:tc>
      </w:tr>
      <w:tr w:rsidR="006A7E68" w:rsidRPr="00857981" w14:paraId="439BFE75" w14:textId="77777777" w:rsidTr="008F605C">
        <w:trPr>
          <w:trHeight w:val="175"/>
          <w:tblCellSpacing w:w="28" w:type="dxa"/>
        </w:trPr>
        <w:tc>
          <w:tcPr>
            <w:tcW w:w="457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6D947B" w14:textId="77777777" w:rsidR="006D584D" w:rsidRPr="005F604D" w:rsidRDefault="006D584D" w:rsidP="00AB7D70">
            <w:pPr>
              <w:jc w:val="center"/>
              <w:rPr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6199CF6D" wp14:editId="64B76AE7">
                  <wp:extent cx="421200" cy="45359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785" t="5209" r="15468" b="52102"/>
                          <a:stretch/>
                        </pic:blipFill>
                        <pic:spPr bwMode="auto">
                          <a:xfrm>
                            <a:off x="0" y="0"/>
                            <a:ext cx="421200" cy="45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E6082D" w14:textId="77777777" w:rsidR="006D584D" w:rsidRPr="008F605C" w:rsidRDefault="00077179" w:rsidP="00077179">
            <w:pPr>
              <w:spacing w:line="216" w:lineRule="auto"/>
              <w:rPr>
                <w:szCs w:val="18"/>
              </w:rPr>
            </w:pPr>
            <w:r>
              <w:rPr>
                <w:szCs w:val="18"/>
              </w:rPr>
              <w:t>F</w:t>
            </w:r>
            <w:r w:rsidR="006D584D" w:rsidRPr="008F605C">
              <w:rPr>
                <w:szCs w:val="18"/>
              </w:rPr>
              <w:t xml:space="preserve">unds </w:t>
            </w:r>
            <w:r>
              <w:rPr>
                <w:szCs w:val="18"/>
              </w:rPr>
              <w:t>are usually</w:t>
            </w:r>
            <w:r w:rsidR="006D584D" w:rsidRPr="008F605C">
              <w:rPr>
                <w:szCs w:val="18"/>
              </w:rPr>
              <w:t xml:space="preserve"> used </w:t>
            </w:r>
            <w:r w:rsidR="00A6088D" w:rsidRPr="008F605C">
              <w:rPr>
                <w:szCs w:val="18"/>
              </w:rPr>
              <w:t>to make retirement more comfortable</w:t>
            </w:r>
            <w:r w:rsidR="0044103F" w:rsidRPr="008F605C">
              <w:rPr>
                <w:szCs w:val="18"/>
              </w:rPr>
              <w:t>. For example,</w:t>
            </w:r>
            <w:r w:rsidR="00714C93" w:rsidRPr="008F605C">
              <w:rPr>
                <w:szCs w:val="18"/>
              </w:rPr>
              <w:t xml:space="preserve"> to consolidate debt, fund</w:t>
            </w:r>
            <w:r w:rsidR="00A6088D" w:rsidRPr="008F605C">
              <w:rPr>
                <w:szCs w:val="18"/>
              </w:rPr>
              <w:t xml:space="preserve"> home </w:t>
            </w:r>
            <w:r w:rsidR="00714C93" w:rsidRPr="008F605C">
              <w:rPr>
                <w:szCs w:val="18"/>
              </w:rPr>
              <w:t>repairs,</w:t>
            </w:r>
            <w:r w:rsidR="00A6088D" w:rsidRPr="008F605C">
              <w:rPr>
                <w:szCs w:val="18"/>
              </w:rPr>
              <w:t xml:space="preserve"> </w:t>
            </w:r>
            <w:r w:rsidR="0044103F" w:rsidRPr="008F605C">
              <w:rPr>
                <w:szCs w:val="18"/>
              </w:rPr>
              <w:t xml:space="preserve">travel, or relieve bill stress. </w:t>
            </w:r>
          </w:p>
        </w:tc>
        <w:tc>
          <w:tcPr>
            <w:tcW w:w="4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D489DA" w14:textId="77777777" w:rsidR="006D584D" w:rsidRPr="005F604D" w:rsidRDefault="008F605C" w:rsidP="00AB7D7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6B8D05BE" wp14:editId="1C224475">
                  <wp:extent cx="421200" cy="42930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76" t="4136" r="22135" b="67723"/>
                          <a:stretch/>
                        </pic:blipFill>
                        <pic:spPr bwMode="auto">
                          <a:xfrm>
                            <a:off x="0" y="0"/>
                            <a:ext cx="421200" cy="42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B9526D" w14:textId="77777777" w:rsidR="006D584D" w:rsidRPr="0070011B" w:rsidRDefault="008F605C" w:rsidP="00845B61">
            <w:pPr>
              <w:spacing w:line="216" w:lineRule="auto"/>
              <w:rPr>
                <w:szCs w:val="18"/>
              </w:rPr>
            </w:pPr>
            <w:r w:rsidRPr="0087770C">
              <w:rPr>
                <w:szCs w:val="18"/>
              </w:rPr>
              <w:t>Australian reverse mortgages have a No Negative Equity Guarantee</w:t>
            </w:r>
            <w:r w:rsidR="00077179">
              <w:rPr>
                <w:szCs w:val="18"/>
              </w:rPr>
              <w:t xml:space="preserve"> – enshrined in law</w:t>
            </w:r>
            <w:r w:rsidRPr="0087770C">
              <w:rPr>
                <w:szCs w:val="18"/>
              </w:rPr>
              <w:t>. Subject to compliance with the loan conditions, your loan will never exceed the net sale proceeds of your home.</w:t>
            </w:r>
          </w:p>
        </w:tc>
      </w:tr>
      <w:tr w:rsidR="008F605C" w:rsidRPr="00857981" w14:paraId="6CD3A46C" w14:textId="77777777" w:rsidTr="008F605C">
        <w:trPr>
          <w:trHeight w:val="175"/>
          <w:tblCellSpacing w:w="28" w:type="dxa"/>
        </w:trPr>
        <w:tc>
          <w:tcPr>
            <w:tcW w:w="457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27DA6B2" w14:textId="77777777" w:rsidR="008F605C" w:rsidRPr="005F604D" w:rsidRDefault="008F605C" w:rsidP="00AB7D70">
            <w:pPr>
              <w:jc w:val="center"/>
              <w:rPr>
                <w:noProof/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69A90ED9" wp14:editId="15AB8C93">
                  <wp:extent cx="421200" cy="43955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5208" r="5208"/>
                          <a:stretch/>
                        </pic:blipFill>
                        <pic:spPr bwMode="auto">
                          <a:xfrm>
                            <a:off x="0" y="0"/>
                            <a:ext cx="421200" cy="439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70CC7D" w14:textId="77777777" w:rsidR="008F605C" w:rsidRPr="008F605C" w:rsidRDefault="008F605C" w:rsidP="00077179">
            <w:pPr>
              <w:spacing w:line="216" w:lineRule="auto"/>
              <w:rPr>
                <w:szCs w:val="18"/>
              </w:rPr>
            </w:pPr>
            <w:r w:rsidRPr="008F605C">
              <w:rPr>
                <w:szCs w:val="18"/>
              </w:rPr>
              <w:t>Importantly, you continue to 100% own your home and are able to live there as long as you wish.</w:t>
            </w:r>
          </w:p>
        </w:tc>
        <w:tc>
          <w:tcPr>
            <w:tcW w:w="4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19860" w14:textId="77777777" w:rsidR="008F605C" w:rsidRPr="005F604D" w:rsidRDefault="008F605C" w:rsidP="00AB7D70">
            <w:pPr>
              <w:spacing w:line="216" w:lineRule="auto"/>
              <w:jc w:val="center"/>
              <w:rPr>
                <w:noProof/>
                <w:sz w:val="18"/>
                <w:szCs w:val="18"/>
              </w:rPr>
            </w:pPr>
            <w:r w:rsidRPr="005F604D">
              <w:rPr>
                <w:noProof/>
                <w:sz w:val="18"/>
                <w:szCs w:val="18"/>
              </w:rPr>
              <w:drawing>
                <wp:inline distT="0" distB="0" distL="0" distR="0" wp14:anchorId="713CB2E6" wp14:editId="40A8170B">
                  <wp:extent cx="419422" cy="41406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7620" t="10227" r="5774" b="7665"/>
                          <a:stretch/>
                        </pic:blipFill>
                        <pic:spPr bwMode="auto">
                          <a:xfrm>
                            <a:off x="0" y="0"/>
                            <a:ext cx="421200" cy="415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F60DC" w14:textId="77777777" w:rsidR="008F605C" w:rsidRPr="0070011B" w:rsidRDefault="008F605C" w:rsidP="00845B61">
            <w:pPr>
              <w:spacing w:line="216" w:lineRule="auto"/>
              <w:rPr>
                <w:szCs w:val="18"/>
              </w:rPr>
            </w:pPr>
            <w:r w:rsidRPr="0070011B">
              <w:rPr>
                <w:szCs w:val="18"/>
              </w:rPr>
              <w:t>The amount you are able to borrow depends on factors including your age and home value.</w:t>
            </w:r>
          </w:p>
        </w:tc>
      </w:tr>
      <w:tr w:rsidR="00A62514" w:rsidRPr="00857981" w14:paraId="6BB82437" w14:textId="77777777" w:rsidTr="0022799B">
        <w:trPr>
          <w:trHeight w:val="2901"/>
          <w:tblCellSpacing w:w="28" w:type="dxa"/>
        </w:trPr>
        <w:tc>
          <w:tcPr>
            <w:tcW w:w="2956" w:type="pct"/>
            <w:gridSpan w:val="6"/>
            <w:tcBorders>
              <w:top w:val="dashSmallGap" w:sz="12" w:space="0" w:color="4D9A77" w:themeColor="accent3"/>
              <w:left w:val="dashSmallGap" w:sz="12" w:space="0" w:color="4D9A77" w:themeColor="accent3"/>
              <w:bottom w:val="dashSmallGap" w:sz="12" w:space="0" w:color="4D9A77" w:themeColor="accent3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E57AE89" w14:textId="77777777" w:rsidR="00027D20" w:rsidRPr="00E52158" w:rsidRDefault="00027D20" w:rsidP="00C33F7D">
            <w:pPr>
              <w:spacing w:after="120"/>
              <w:jc w:val="center"/>
              <w:rPr>
                <w:b/>
                <w:color w:val="00703C" w:themeColor="accent1"/>
                <w:sz w:val="28"/>
                <w:szCs w:val="19"/>
              </w:rPr>
            </w:pPr>
            <w:r w:rsidRPr="00E52158">
              <w:rPr>
                <w:b/>
                <w:color w:val="00703C" w:themeColor="accent1"/>
                <w:sz w:val="28"/>
                <w:szCs w:val="19"/>
              </w:rPr>
              <w:t xml:space="preserve">Reverse mortgage customers describe </w:t>
            </w:r>
            <w:r w:rsidRPr="00E52158">
              <w:rPr>
                <w:b/>
                <w:color w:val="00703C" w:themeColor="accent1"/>
                <w:sz w:val="28"/>
                <w:szCs w:val="19"/>
              </w:rPr>
              <w:br/>
              <w:t>their experiences</w:t>
            </w:r>
          </w:p>
          <w:p w14:paraId="54CF7571" w14:textId="77777777" w:rsidR="008F09FC" w:rsidRPr="00A95E57" w:rsidRDefault="00077179" w:rsidP="00C33F7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[place your own customer feedback here]</w:t>
            </w:r>
          </w:p>
        </w:tc>
        <w:tc>
          <w:tcPr>
            <w:tcW w:w="1962" w:type="pct"/>
            <w:tcBorders>
              <w:top w:val="dashSmallGap" w:sz="12" w:space="0" w:color="4D9A77" w:themeColor="accent3"/>
              <w:bottom w:val="dashSmallGap" w:sz="12" w:space="0" w:color="4D9A77" w:themeColor="accent3"/>
              <w:right w:val="dashSmallGap" w:sz="12" w:space="0" w:color="4D9A77" w:themeColor="accent3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D94851" w14:textId="77777777" w:rsidR="008F09FC" w:rsidRPr="005F604D" w:rsidRDefault="00C93749" w:rsidP="00F37E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B88D3A5" wp14:editId="1B2C21D5">
                  <wp:extent cx="2406913" cy="1981200"/>
                  <wp:effectExtent l="0" t="0" r="0" b="0"/>
                  <wp:docPr id="16" name="Picture 16" descr="C:\Users\Stacey Moss\AppData\Local\Microsoft\Windows\INetCache\Content.Word\iStock-924693532grandkidsf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Stacey Moss\AppData\Local\Microsoft\Windows\INetCache\Content.Word\iStock-924693532grandkidsfu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4000" contrast="1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2" t="-1" r="4457" b="12617"/>
                          <a:stretch/>
                        </pic:blipFill>
                        <pic:spPr bwMode="auto">
                          <a:xfrm>
                            <a:off x="0" y="0"/>
                            <a:ext cx="2412000" cy="198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14" w:rsidRPr="00857981" w14:paraId="76CF38CB" w14:textId="77777777" w:rsidTr="00D018C7">
        <w:trPr>
          <w:tblCellSpacing w:w="28" w:type="dxa"/>
        </w:trPr>
        <w:tc>
          <w:tcPr>
            <w:tcW w:w="4946" w:type="pct"/>
            <w:gridSpan w:val="7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523530" w14:textId="77777777" w:rsidR="00A62514" w:rsidRPr="00D018C7" w:rsidRDefault="00A62514" w:rsidP="00BF66A5">
            <w:pPr>
              <w:rPr>
                <w:b/>
                <w:color w:val="FFFFFF" w:themeColor="background1"/>
                <w:sz w:val="2"/>
                <w:szCs w:val="8"/>
              </w:rPr>
            </w:pPr>
          </w:p>
        </w:tc>
      </w:tr>
      <w:tr w:rsidR="002654FA" w:rsidRPr="00857981" w14:paraId="765D5032" w14:textId="77777777" w:rsidTr="00D018C7">
        <w:trPr>
          <w:tblCellSpacing w:w="28" w:type="dxa"/>
        </w:trPr>
        <w:tc>
          <w:tcPr>
            <w:tcW w:w="4946" w:type="pct"/>
            <w:gridSpan w:val="7"/>
            <w:shd w:val="clear" w:color="auto" w:fill="4D9A77" w:themeFill="accent3"/>
            <w:tcMar>
              <w:top w:w="85" w:type="dxa"/>
              <w:bottom w:w="85" w:type="dxa"/>
            </w:tcMar>
            <w:vAlign w:val="center"/>
          </w:tcPr>
          <w:p w14:paraId="06C2B318" w14:textId="77777777" w:rsidR="002654FA" w:rsidRPr="002654FA" w:rsidRDefault="002654FA" w:rsidP="00BF66A5">
            <w:pPr>
              <w:rPr>
                <w:sz w:val="22"/>
                <w:szCs w:val="22"/>
              </w:rPr>
            </w:pPr>
            <w:r w:rsidRPr="000C74BD">
              <w:rPr>
                <w:b/>
                <w:color w:val="FFFFFF" w:themeColor="background1"/>
                <w:sz w:val="28"/>
                <w:szCs w:val="22"/>
              </w:rPr>
              <w:t>Some important considerations</w:t>
            </w:r>
          </w:p>
        </w:tc>
      </w:tr>
      <w:tr w:rsidR="00C405A6" w:rsidRPr="00857981" w14:paraId="754E2348" w14:textId="77777777" w:rsidTr="008C6F2B">
        <w:trPr>
          <w:trHeight w:val="257"/>
          <w:tblCellSpacing w:w="28" w:type="dxa"/>
        </w:trPr>
        <w:tc>
          <w:tcPr>
            <w:tcW w:w="1136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4DA7C02" w14:textId="77777777" w:rsidR="00C405A6" w:rsidRPr="005F604D" w:rsidRDefault="00C405A6" w:rsidP="008C6F2B">
            <w:pPr>
              <w:spacing w:line="216" w:lineRule="auto"/>
              <w:rPr>
                <w:b/>
                <w:sz w:val="18"/>
                <w:szCs w:val="18"/>
              </w:rPr>
            </w:pPr>
            <w:r w:rsidRPr="005F604D">
              <w:rPr>
                <w:b/>
                <w:sz w:val="18"/>
                <w:szCs w:val="18"/>
              </w:rPr>
              <w:t xml:space="preserve">Could a reverse mortgage affect my pension? </w:t>
            </w:r>
          </w:p>
        </w:tc>
        <w:tc>
          <w:tcPr>
            <w:tcW w:w="3783" w:type="pct"/>
            <w:gridSpan w:val="5"/>
            <w:shd w:val="clear" w:color="auto" w:fill="auto"/>
            <w:tcMar>
              <w:top w:w="85" w:type="dxa"/>
              <w:bottom w:w="85" w:type="dxa"/>
            </w:tcMar>
          </w:tcPr>
          <w:p w14:paraId="7CD43DA7" w14:textId="77777777" w:rsidR="00C405A6" w:rsidRPr="005F604D" w:rsidRDefault="00C405A6" w:rsidP="008C6F2B">
            <w:pPr>
              <w:spacing w:line="216" w:lineRule="auto"/>
              <w:rPr>
                <w:sz w:val="18"/>
                <w:szCs w:val="18"/>
              </w:rPr>
            </w:pPr>
            <w:r w:rsidRPr="005F604D">
              <w:rPr>
                <w:sz w:val="18"/>
                <w:szCs w:val="18"/>
              </w:rPr>
              <w:t>You can usually access some of the equity in your home without impacting</w:t>
            </w:r>
            <w:r w:rsidR="00077179">
              <w:rPr>
                <w:sz w:val="18"/>
                <w:szCs w:val="18"/>
              </w:rPr>
              <w:t xml:space="preserve"> government</w:t>
            </w:r>
            <w:r w:rsidRPr="005F60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entitlements. H</w:t>
            </w:r>
            <w:r w:rsidRPr="005F604D">
              <w:rPr>
                <w:sz w:val="18"/>
                <w:szCs w:val="18"/>
              </w:rPr>
              <w:t>owever</w:t>
            </w:r>
            <w:r>
              <w:rPr>
                <w:sz w:val="18"/>
                <w:szCs w:val="18"/>
              </w:rPr>
              <w:t>, you should contact</w:t>
            </w:r>
            <w:r w:rsidRPr="005F604D">
              <w:rPr>
                <w:sz w:val="18"/>
                <w:szCs w:val="18"/>
              </w:rPr>
              <w:t xml:space="preserve"> Centrelink to discuss your </w:t>
            </w:r>
            <w:r>
              <w:rPr>
                <w:sz w:val="18"/>
                <w:szCs w:val="18"/>
              </w:rPr>
              <w:t>particular financial situation.</w:t>
            </w:r>
            <w:r w:rsidRPr="005F604D">
              <w:rPr>
                <w:sz w:val="18"/>
                <w:szCs w:val="18"/>
              </w:rPr>
              <w:t xml:space="preserve"> </w:t>
            </w:r>
          </w:p>
        </w:tc>
      </w:tr>
      <w:tr w:rsidR="008C6F2B" w:rsidRPr="00857981" w14:paraId="631C0AA6" w14:textId="77777777" w:rsidTr="008F605C">
        <w:trPr>
          <w:tblCellSpacing w:w="28" w:type="dxa"/>
        </w:trPr>
        <w:tc>
          <w:tcPr>
            <w:tcW w:w="1136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1AC657C" w14:textId="77777777" w:rsidR="008C6F2B" w:rsidRPr="005F604D" w:rsidRDefault="008C6F2B" w:rsidP="008C6F2B">
            <w:pPr>
              <w:spacing w:line="216" w:lineRule="auto"/>
              <w:rPr>
                <w:b/>
                <w:sz w:val="18"/>
                <w:szCs w:val="18"/>
              </w:rPr>
            </w:pPr>
            <w:r w:rsidRPr="005F604D">
              <w:rPr>
                <w:b/>
                <w:sz w:val="18"/>
                <w:szCs w:val="18"/>
              </w:rPr>
              <w:t>What costs are involved?</w:t>
            </w:r>
          </w:p>
        </w:tc>
        <w:tc>
          <w:tcPr>
            <w:tcW w:w="3783" w:type="pct"/>
            <w:gridSpan w:val="5"/>
            <w:shd w:val="clear" w:color="auto" w:fill="auto"/>
            <w:tcMar>
              <w:top w:w="85" w:type="dxa"/>
              <w:bottom w:w="85" w:type="dxa"/>
            </w:tcMar>
          </w:tcPr>
          <w:p w14:paraId="5DBE2847" w14:textId="77777777" w:rsidR="008C6F2B" w:rsidRPr="005F604D" w:rsidRDefault="008C6F2B" w:rsidP="00FC196B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Loan interest is compounding</w:t>
            </w:r>
            <w:r w:rsidR="00077179">
              <w:rPr>
                <w:sz w:val="18"/>
                <w:szCs w:val="18"/>
              </w:rPr>
              <w:t xml:space="preserve">, which means the loan balance increases over time as </w:t>
            </w:r>
            <w:r w:rsidR="00FC196B">
              <w:rPr>
                <w:sz w:val="18"/>
                <w:szCs w:val="18"/>
              </w:rPr>
              <w:t>interest</w:t>
            </w:r>
            <w:r w:rsidR="00077179">
              <w:rPr>
                <w:sz w:val="18"/>
                <w:szCs w:val="18"/>
              </w:rPr>
              <w:t xml:space="preserve"> is added to the loan</w:t>
            </w:r>
            <w:r>
              <w:rPr>
                <w:sz w:val="18"/>
                <w:szCs w:val="18"/>
              </w:rPr>
              <w:t>.</w:t>
            </w:r>
            <w:r w:rsidR="00077179" w:rsidRPr="005F604D">
              <w:rPr>
                <w:sz w:val="18"/>
                <w:szCs w:val="18"/>
              </w:rPr>
              <w:t xml:space="preserve"> </w:t>
            </w:r>
            <w:r w:rsidR="00077179">
              <w:rPr>
                <w:sz w:val="18"/>
                <w:szCs w:val="18"/>
              </w:rPr>
              <w:t>T</w:t>
            </w:r>
            <w:r w:rsidRPr="005F604D">
              <w:rPr>
                <w:sz w:val="18"/>
                <w:szCs w:val="18"/>
              </w:rPr>
              <w:t xml:space="preserve">here </w:t>
            </w:r>
            <w:r>
              <w:rPr>
                <w:sz w:val="18"/>
                <w:szCs w:val="18"/>
              </w:rPr>
              <w:t>are</w:t>
            </w:r>
            <w:r w:rsidRPr="005F604D">
              <w:rPr>
                <w:sz w:val="18"/>
                <w:szCs w:val="18"/>
              </w:rPr>
              <w:t xml:space="preserve"> fees</w:t>
            </w:r>
            <w:r w:rsidR="00077179">
              <w:rPr>
                <w:sz w:val="18"/>
                <w:szCs w:val="18"/>
              </w:rPr>
              <w:t xml:space="preserve"> and charges for setting it up</w:t>
            </w:r>
            <w:r>
              <w:rPr>
                <w:sz w:val="18"/>
                <w:szCs w:val="18"/>
              </w:rPr>
              <w:t xml:space="preserve">, including </w:t>
            </w:r>
            <w:r w:rsidR="00077179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</w:t>
            </w:r>
            <w:r w:rsidR="00077179">
              <w:rPr>
                <w:sz w:val="18"/>
                <w:szCs w:val="18"/>
              </w:rPr>
              <w:t xml:space="preserve">your </w:t>
            </w:r>
            <w:r>
              <w:rPr>
                <w:sz w:val="18"/>
                <w:szCs w:val="18"/>
              </w:rPr>
              <w:t>independent legal advice</w:t>
            </w:r>
            <w:r w:rsidRPr="005F604D">
              <w:rPr>
                <w:sz w:val="18"/>
                <w:szCs w:val="18"/>
              </w:rPr>
              <w:t xml:space="preserve">. </w:t>
            </w:r>
          </w:p>
        </w:tc>
      </w:tr>
      <w:tr w:rsidR="008C6F2B" w:rsidRPr="00857981" w14:paraId="439EE55A" w14:textId="77777777" w:rsidTr="008F605C">
        <w:trPr>
          <w:tblCellSpacing w:w="28" w:type="dxa"/>
        </w:trPr>
        <w:tc>
          <w:tcPr>
            <w:tcW w:w="1136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5D180DC" w14:textId="77777777" w:rsidR="008C6F2B" w:rsidRPr="005F604D" w:rsidRDefault="008C6F2B" w:rsidP="008C6F2B">
            <w:pPr>
              <w:spacing w:line="216" w:lineRule="auto"/>
              <w:rPr>
                <w:b/>
                <w:sz w:val="18"/>
                <w:szCs w:val="18"/>
              </w:rPr>
            </w:pPr>
            <w:r w:rsidRPr="005F604D">
              <w:rPr>
                <w:b/>
                <w:sz w:val="18"/>
                <w:szCs w:val="18"/>
              </w:rPr>
              <w:t>When is the loan payable?</w:t>
            </w:r>
          </w:p>
        </w:tc>
        <w:tc>
          <w:tcPr>
            <w:tcW w:w="3783" w:type="pct"/>
            <w:gridSpan w:val="5"/>
            <w:shd w:val="clear" w:color="auto" w:fill="auto"/>
            <w:tcMar>
              <w:top w:w="85" w:type="dxa"/>
              <w:bottom w:w="85" w:type="dxa"/>
            </w:tcMar>
          </w:tcPr>
          <w:p w14:paraId="114949BF" w14:textId="77777777" w:rsidR="008C6F2B" w:rsidRPr="005F604D" w:rsidRDefault="008C6F2B" w:rsidP="00FC196B">
            <w:pPr>
              <w:spacing w:line="216" w:lineRule="auto"/>
              <w:rPr>
                <w:sz w:val="18"/>
                <w:szCs w:val="18"/>
              </w:rPr>
            </w:pPr>
            <w:r w:rsidRPr="005F604D">
              <w:rPr>
                <w:sz w:val="18"/>
                <w:szCs w:val="18"/>
              </w:rPr>
              <w:t xml:space="preserve">At the end of the term of your loan (when you move permanently from your home) </w:t>
            </w:r>
            <w:r w:rsidR="004E6E5C">
              <w:rPr>
                <w:sz w:val="18"/>
                <w:szCs w:val="18"/>
              </w:rPr>
              <w:t>the</w:t>
            </w:r>
            <w:r w:rsidR="00FC196B">
              <w:rPr>
                <w:sz w:val="18"/>
                <w:szCs w:val="18"/>
              </w:rPr>
              <w:t xml:space="preserve"> total</w:t>
            </w:r>
            <w:r w:rsidR="004E6E5C">
              <w:rPr>
                <w:sz w:val="18"/>
                <w:szCs w:val="18"/>
              </w:rPr>
              <w:t xml:space="preserve"> loan </w:t>
            </w:r>
            <w:r w:rsidRPr="005F604D">
              <w:rPr>
                <w:sz w:val="18"/>
                <w:szCs w:val="18"/>
              </w:rPr>
              <w:t>will</w:t>
            </w:r>
            <w:r w:rsidR="00FC196B">
              <w:rPr>
                <w:sz w:val="18"/>
                <w:szCs w:val="18"/>
              </w:rPr>
              <w:t xml:space="preserve"> then</w:t>
            </w:r>
            <w:r w:rsidRPr="005F604D">
              <w:rPr>
                <w:sz w:val="18"/>
                <w:szCs w:val="18"/>
              </w:rPr>
              <w:t xml:space="preserve"> be payable</w:t>
            </w:r>
            <w:r w:rsidR="000771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77179">
              <w:rPr>
                <w:sz w:val="18"/>
                <w:szCs w:val="18"/>
              </w:rPr>
              <w:t xml:space="preserve">This is </w:t>
            </w:r>
            <w:r>
              <w:rPr>
                <w:sz w:val="18"/>
                <w:szCs w:val="18"/>
              </w:rPr>
              <w:t>usually from the sale of the property</w:t>
            </w:r>
            <w:r w:rsidR="00077179">
              <w:rPr>
                <w:sz w:val="18"/>
                <w:szCs w:val="18"/>
              </w:rPr>
              <w:t xml:space="preserve">, passing away, or moving to aged care. </w:t>
            </w:r>
          </w:p>
        </w:tc>
      </w:tr>
      <w:tr w:rsidR="003019E2" w:rsidRPr="00857981" w14:paraId="1B4FA6B7" w14:textId="77777777" w:rsidTr="00D018C7">
        <w:trPr>
          <w:tblCellSpacing w:w="28" w:type="dxa"/>
        </w:trPr>
        <w:tc>
          <w:tcPr>
            <w:tcW w:w="4946" w:type="pct"/>
            <w:gridSpan w:val="7"/>
            <w:shd w:val="clear" w:color="auto" w:fill="00703C" w:themeFill="accent1"/>
            <w:tcMar>
              <w:top w:w="85" w:type="dxa"/>
              <w:bottom w:w="85" w:type="dxa"/>
            </w:tcMar>
            <w:vAlign w:val="center"/>
          </w:tcPr>
          <w:p w14:paraId="41D173AE" w14:textId="77777777" w:rsidR="00FE359C" w:rsidRPr="00580997" w:rsidRDefault="003019E2" w:rsidP="00334818">
            <w:pPr>
              <w:jc w:val="center"/>
              <w:rPr>
                <w:b/>
                <w:sz w:val="44"/>
                <w:szCs w:val="18"/>
              </w:rPr>
            </w:pPr>
            <w:r w:rsidRPr="00961385">
              <w:rPr>
                <w:b/>
                <w:color w:val="FFFFFF" w:themeColor="background1"/>
                <w:sz w:val="28"/>
                <w:szCs w:val="18"/>
              </w:rPr>
              <w:t xml:space="preserve">For more information, please </w:t>
            </w:r>
            <w:r w:rsidR="005A6292" w:rsidRPr="00961385">
              <w:rPr>
                <w:b/>
                <w:color w:val="FFFFFF" w:themeColor="background1"/>
                <w:sz w:val="28"/>
                <w:szCs w:val="18"/>
              </w:rPr>
              <w:t xml:space="preserve">give </w:t>
            </w:r>
            <w:r w:rsidR="00334818">
              <w:rPr>
                <w:b/>
                <w:color w:val="FFFFFF" w:themeColor="background1"/>
                <w:sz w:val="28"/>
                <w:szCs w:val="18"/>
              </w:rPr>
              <w:t>NAME</w:t>
            </w:r>
            <w:r w:rsidR="005A6292" w:rsidRPr="00961385">
              <w:rPr>
                <w:b/>
                <w:color w:val="FFFFFF" w:themeColor="background1"/>
                <w:sz w:val="28"/>
                <w:szCs w:val="18"/>
              </w:rPr>
              <w:t xml:space="preserve"> a call</w:t>
            </w:r>
            <w:r w:rsidR="00251A9C" w:rsidRPr="00961385">
              <w:rPr>
                <w:b/>
                <w:color w:val="FFFFFF" w:themeColor="background1"/>
                <w:sz w:val="28"/>
                <w:szCs w:val="18"/>
              </w:rPr>
              <w:t xml:space="preserve"> on </w:t>
            </w:r>
            <w:r w:rsidR="00334818">
              <w:rPr>
                <w:b/>
                <w:color w:val="FFFFFF" w:themeColor="background1"/>
                <w:sz w:val="28"/>
                <w:szCs w:val="18"/>
              </w:rPr>
              <w:t>0000 123 123</w:t>
            </w:r>
          </w:p>
        </w:tc>
      </w:tr>
      <w:tr w:rsidR="00313E21" w:rsidRPr="00857981" w14:paraId="2221C8A2" w14:textId="77777777" w:rsidTr="000A7191">
        <w:trPr>
          <w:trHeight w:val="505"/>
          <w:tblCellSpacing w:w="28" w:type="dxa"/>
        </w:trPr>
        <w:tc>
          <w:tcPr>
            <w:tcW w:w="2304" w:type="pct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59BB7F6A" w14:textId="77777777" w:rsidR="00334818" w:rsidRDefault="003941E6" w:rsidP="00266014">
            <w:pPr>
              <w:spacing w:line="288" w:lineRule="auto"/>
              <w:rPr>
                <w:szCs w:val="18"/>
              </w:rPr>
            </w:pPr>
            <w:r>
              <w:rPr>
                <w:szCs w:val="18"/>
              </w:rPr>
              <w:t>Your information</w:t>
            </w:r>
          </w:p>
          <w:p w14:paraId="0913E38C" w14:textId="77777777" w:rsidR="00971105" w:rsidRPr="00334818" w:rsidRDefault="003941E6" w:rsidP="00266014">
            <w:pPr>
              <w:spacing w:line="288" w:lineRule="auto"/>
              <w:rPr>
                <w:szCs w:val="18"/>
              </w:rPr>
            </w:pPr>
            <w:r>
              <w:rPr>
                <w:szCs w:val="18"/>
              </w:rPr>
              <w:t>Your information</w:t>
            </w:r>
          </w:p>
        </w:tc>
        <w:tc>
          <w:tcPr>
            <w:tcW w:w="2614" w:type="pct"/>
            <w:gridSpan w:val="4"/>
            <w:shd w:val="clear" w:color="auto" w:fill="auto"/>
            <w:tcMar>
              <w:top w:w="85" w:type="dxa"/>
              <w:bottom w:w="85" w:type="dxa"/>
            </w:tcMar>
          </w:tcPr>
          <w:p w14:paraId="5B0D23C3" w14:textId="77777777" w:rsidR="008C264E" w:rsidRPr="008C264E" w:rsidRDefault="003941E6" w:rsidP="008C2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COMPLIANCE</w:t>
            </w:r>
            <w:r w:rsidR="006C023A">
              <w:rPr>
                <w:b/>
                <w:sz w:val="18"/>
                <w:szCs w:val="18"/>
              </w:rPr>
              <w:t>/IMPORTANT</w:t>
            </w:r>
            <w:r>
              <w:rPr>
                <w:b/>
                <w:sz w:val="18"/>
                <w:szCs w:val="18"/>
              </w:rPr>
              <w:t xml:space="preserve"> NOTICE</w:t>
            </w:r>
            <w:r w:rsidR="006C023A">
              <w:rPr>
                <w:b/>
                <w:sz w:val="18"/>
                <w:szCs w:val="18"/>
              </w:rPr>
              <w:t xml:space="preserve"> (or terms)</w:t>
            </w:r>
            <w:r w:rsidRPr="00910C6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51AABB2" w14:textId="77777777" w:rsidR="00F04980" w:rsidRPr="00857981" w:rsidRDefault="00F04980" w:rsidP="006239FA"/>
    <w:sectPr w:rsidR="00F04980" w:rsidRPr="00857981" w:rsidSect="00D018C7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1229" w14:textId="77777777" w:rsidR="00B757EB" w:rsidRDefault="00B757EB" w:rsidP="00F04980">
      <w:r>
        <w:separator/>
      </w:r>
    </w:p>
  </w:endnote>
  <w:endnote w:type="continuationSeparator" w:id="0">
    <w:p w14:paraId="42049BD3" w14:textId="77777777" w:rsidR="00B757EB" w:rsidRDefault="00B757EB" w:rsidP="00F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9E51" w14:textId="77777777" w:rsidR="00B757EB" w:rsidRDefault="00B757EB" w:rsidP="00F04980">
      <w:r>
        <w:separator/>
      </w:r>
    </w:p>
  </w:footnote>
  <w:footnote w:type="continuationSeparator" w:id="0">
    <w:p w14:paraId="78DE9E1A" w14:textId="77777777" w:rsidR="00B757EB" w:rsidRDefault="00B757EB" w:rsidP="00F0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0287"/>
    <w:multiLevelType w:val="hybridMultilevel"/>
    <w:tmpl w:val="599E6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461"/>
    <w:rsid w:val="00022069"/>
    <w:rsid w:val="000247CA"/>
    <w:rsid w:val="00027D20"/>
    <w:rsid w:val="000315F9"/>
    <w:rsid w:val="000416C1"/>
    <w:rsid w:val="00046F37"/>
    <w:rsid w:val="00072706"/>
    <w:rsid w:val="00076860"/>
    <w:rsid w:val="00077179"/>
    <w:rsid w:val="00093C6E"/>
    <w:rsid w:val="00094037"/>
    <w:rsid w:val="00094315"/>
    <w:rsid w:val="000A43CD"/>
    <w:rsid w:val="000A4950"/>
    <w:rsid w:val="000A51A7"/>
    <w:rsid w:val="000A5CC1"/>
    <w:rsid w:val="000A7191"/>
    <w:rsid w:val="000C74BD"/>
    <w:rsid w:val="000E4B3F"/>
    <w:rsid w:val="001003BA"/>
    <w:rsid w:val="001358AF"/>
    <w:rsid w:val="001368F6"/>
    <w:rsid w:val="00184BB5"/>
    <w:rsid w:val="001B04B8"/>
    <w:rsid w:val="001C10CC"/>
    <w:rsid w:val="002045DA"/>
    <w:rsid w:val="002054FF"/>
    <w:rsid w:val="0020679F"/>
    <w:rsid w:val="00212B58"/>
    <w:rsid w:val="0022799B"/>
    <w:rsid w:val="00241093"/>
    <w:rsid w:val="00244929"/>
    <w:rsid w:val="00251A9C"/>
    <w:rsid w:val="002654FA"/>
    <w:rsid w:val="00266014"/>
    <w:rsid w:val="002668CD"/>
    <w:rsid w:val="002C23B2"/>
    <w:rsid w:val="002C37A4"/>
    <w:rsid w:val="002D2B0B"/>
    <w:rsid w:val="002D5C23"/>
    <w:rsid w:val="002F2530"/>
    <w:rsid w:val="003019E2"/>
    <w:rsid w:val="003069C5"/>
    <w:rsid w:val="00313E21"/>
    <w:rsid w:val="00331A88"/>
    <w:rsid w:val="00334818"/>
    <w:rsid w:val="00337BE7"/>
    <w:rsid w:val="00364595"/>
    <w:rsid w:val="0036768E"/>
    <w:rsid w:val="003941E6"/>
    <w:rsid w:val="003B187C"/>
    <w:rsid w:val="003E6BAA"/>
    <w:rsid w:val="003F23B9"/>
    <w:rsid w:val="00401160"/>
    <w:rsid w:val="004270DB"/>
    <w:rsid w:val="0044103F"/>
    <w:rsid w:val="00444FF2"/>
    <w:rsid w:val="00454748"/>
    <w:rsid w:val="0046770F"/>
    <w:rsid w:val="004718AD"/>
    <w:rsid w:val="004733ED"/>
    <w:rsid w:val="0049169B"/>
    <w:rsid w:val="00494727"/>
    <w:rsid w:val="004A09A9"/>
    <w:rsid w:val="004D4B57"/>
    <w:rsid w:val="004D6101"/>
    <w:rsid w:val="004E6E5C"/>
    <w:rsid w:val="00504249"/>
    <w:rsid w:val="00514F97"/>
    <w:rsid w:val="00521F8D"/>
    <w:rsid w:val="0053123E"/>
    <w:rsid w:val="00533BB3"/>
    <w:rsid w:val="00550EBB"/>
    <w:rsid w:val="005552E2"/>
    <w:rsid w:val="00555AF2"/>
    <w:rsid w:val="00580997"/>
    <w:rsid w:val="005A6292"/>
    <w:rsid w:val="005C07E0"/>
    <w:rsid w:val="005C1075"/>
    <w:rsid w:val="005D4DE1"/>
    <w:rsid w:val="005E4A88"/>
    <w:rsid w:val="005E5596"/>
    <w:rsid w:val="005F571E"/>
    <w:rsid w:val="005F604D"/>
    <w:rsid w:val="00613AF4"/>
    <w:rsid w:val="006239FA"/>
    <w:rsid w:val="006245BB"/>
    <w:rsid w:val="006571B5"/>
    <w:rsid w:val="006A7E68"/>
    <w:rsid w:val="006C023A"/>
    <w:rsid w:val="006D2935"/>
    <w:rsid w:val="006D584D"/>
    <w:rsid w:val="0070011B"/>
    <w:rsid w:val="00714C93"/>
    <w:rsid w:val="00724DFA"/>
    <w:rsid w:val="00730D8E"/>
    <w:rsid w:val="00732C9A"/>
    <w:rsid w:val="007803FE"/>
    <w:rsid w:val="007E2086"/>
    <w:rsid w:val="007E5CF6"/>
    <w:rsid w:val="007F3AAA"/>
    <w:rsid w:val="00821B79"/>
    <w:rsid w:val="008401D0"/>
    <w:rsid w:val="00841E5B"/>
    <w:rsid w:val="00845B61"/>
    <w:rsid w:val="00846E6D"/>
    <w:rsid w:val="00857981"/>
    <w:rsid w:val="008711E0"/>
    <w:rsid w:val="00871681"/>
    <w:rsid w:val="0087770C"/>
    <w:rsid w:val="008925DD"/>
    <w:rsid w:val="0089467E"/>
    <w:rsid w:val="008A6C7A"/>
    <w:rsid w:val="008B66B7"/>
    <w:rsid w:val="008C264E"/>
    <w:rsid w:val="008C6F2B"/>
    <w:rsid w:val="008F09FC"/>
    <w:rsid w:val="008F1A8C"/>
    <w:rsid w:val="008F2754"/>
    <w:rsid w:val="008F605C"/>
    <w:rsid w:val="00910C62"/>
    <w:rsid w:val="0092201E"/>
    <w:rsid w:val="00945D76"/>
    <w:rsid w:val="00961385"/>
    <w:rsid w:val="00963FBB"/>
    <w:rsid w:val="00971105"/>
    <w:rsid w:val="009718CD"/>
    <w:rsid w:val="009804FE"/>
    <w:rsid w:val="00992287"/>
    <w:rsid w:val="009A3687"/>
    <w:rsid w:val="009B2797"/>
    <w:rsid w:val="009C319B"/>
    <w:rsid w:val="009D1B24"/>
    <w:rsid w:val="009F6E16"/>
    <w:rsid w:val="00A254F5"/>
    <w:rsid w:val="00A3118E"/>
    <w:rsid w:val="00A33C58"/>
    <w:rsid w:val="00A340D6"/>
    <w:rsid w:val="00A44E4F"/>
    <w:rsid w:val="00A520BC"/>
    <w:rsid w:val="00A6088D"/>
    <w:rsid w:val="00A60DA0"/>
    <w:rsid w:val="00A62514"/>
    <w:rsid w:val="00A76A84"/>
    <w:rsid w:val="00A944AC"/>
    <w:rsid w:val="00A95E57"/>
    <w:rsid w:val="00AA2F64"/>
    <w:rsid w:val="00AA7A12"/>
    <w:rsid w:val="00AB7D70"/>
    <w:rsid w:val="00AC6D47"/>
    <w:rsid w:val="00AC6E1A"/>
    <w:rsid w:val="00AD1174"/>
    <w:rsid w:val="00AD3118"/>
    <w:rsid w:val="00AD3515"/>
    <w:rsid w:val="00AE078C"/>
    <w:rsid w:val="00AE7AE8"/>
    <w:rsid w:val="00B04F39"/>
    <w:rsid w:val="00B145CA"/>
    <w:rsid w:val="00B639C1"/>
    <w:rsid w:val="00B757EB"/>
    <w:rsid w:val="00B7720E"/>
    <w:rsid w:val="00B919E8"/>
    <w:rsid w:val="00BA34A7"/>
    <w:rsid w:val="00BA4DC2"/>
    <w:rsid w:val="00BA562E"/>
    <w:rsid w:val="00BA7322"/>
    <w:rsid w:val="00BB6390"/>
    <w:rsid w:val="00BB7E20"/>
    <w:rsid w:val="00BC2674"/>
    <w:rsid w:val="00BD32BB"/>
    <w:rsid w:val="00BF4B37"/>
    <w:rsid w:val="00BF66A5"/>
    <w:rsid w:val="00C051B4"/>
    <w:rsid w:val="00C11010"/>
    <w:rsid w:val="00C11414"/>
    <w:rsid w:val="00C122B1"/>
    <w:rsid w:val="00C176C4"/>
    <w:rsid w:val="00C33F7D"/>
    <w:rsid w:val="00C405A6"/>
    <w:rsid w:val="00C93749"/>
    <w:rsid w:val="00C94439"/>
    <w:rsid w:val="00C97ED6"/>
    <w:rsid w:val="00CC336B"/>
    <w:rsid w:val="00CF67BB"/>
    <w:rsid w:val="00CF729A"/>
    <w:rsid w:val="00D018C7"/>
    <w:rsid w:val="00D1284F"/>
    <w:rsid w:val="00D37AC8"/>
    <w:rsid w:val="00D46361"/>
    <w:rsid w:val="00D4677B"/>
    <w:rsid w:val="00D57C5F"/>
    <w:rsid w:val="00DB20F0"/>
    <w:rsid w:val="00DC6DD8"/>
    <w:rsid w:val="00DE348C"/>
    <w:rsid w:val="00DE6617"/>
    <w:rsid w:val="00DF2EE4"/>
    <w:rsid w:val="00E141ED"/>
    <w:rsid w:val="00E25C70"/>
    <w:rsid w:val="00E274C9"/>
    <w:rsid w:val="00E52158"/>
    <w:rsid w:val="00E544E1"/>
    <w:rsid w:val="00E6317E"/>
    <w:rsid w:val="00E816F9"/>
    <w:rsid w:val="00E96CEB"/>
    <w:rsid w:val="00ED2BFC"/>
    <w:rsid w:val="00ED4596"/>
    <w:rsid w:val="00F04980"/>
    <w:rsid w:val="00F06065"/>
    <w:rsid w:val="00F0774F"/>
    <w:rsid w:val="00F25FCD"/>
    <w:rsid w:val="00F3140C"/>
    <w:rsid w:val="00F31461"/>
    <w:rsid w:val="00F3636A"/>
    <w:rsid w:val="00F37EDE"/>
    <w:rsid w:val="00F52B46"/>
    <w:rsid w:val="00F63DF2"/>
    <w:rsid w:val="00F8076F"/>
    <w:rsid w:val="00F852B5"/>
    <w:rsid w:val="00FA064F"/>
    <w:rsid w:val="00FB2D77"/>
    <w:rsid w:val="00FC196B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6F18"/>
  <w15:docId w15:val="{A77C2732-E45C-480C-B9C0-3F5B63B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B8"/>
    <w:pPr>
      <w:spacing w:after="0" w:line="240" w:lineRule="auto"/>
    </w:pPr>
    <w:rPr>
      <w:rFonts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E1A"/>
    <w:pPr>
      <w:keepNext/>
      <w:keepLines/>
      <w:spacing w:before="480"/>
      <w:outlineLvl w:val="0"/>
    </w:pPr>
    <w:rPr>
      <w:rFonts w:eastAsiaTheme="majorEastAsia" w:cstheme="majorBidi"/>
      <w:b/>
      <w:bCs/>
      <w:color w:val="00532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E6D"/>
    <w:pPr>
      <w:keepNext/>
      <w:keepLines/>
      <w:spacing w:before="200"/>
      <w:outlineLvl w:val="1"/>
    </w:pPr>
    <w:rPr>
      <w:rFonts w:eastAsiaTheme="majorEastAsia" w:cstheme="majorBidi"/>
      <w:b/>
      <w:bCs/>
      <w:color w:val="00703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1160"/>
    <w:pPr>
      <w:keepNext/>
      <w:keepLines/>
      <w:outlineLvl w:val="2"/>
    </w:pPr>
    <w:rPr>
      <w:rFonts w:eastAsiaTheme="majorEastAsia" w:cstheme="majorBidi"/>
      <w:b/>
      <w:bCs/>
      <w:color w:val="4D9A7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64F"/>
    <w:pPr>
      <w:spacing w:after="0" w:line="240" w:lineRule="auto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64F"/>
    <w:pPr>
      <w:numPr>
        <w:ilvl w:val="1"/>
      </w:numPr>
    </w:pPr>
    <w:rPr>
      <w:rFonts w:eastAsiaTheme="majorEastAsia" w:cstheme="majorBidi"/>
      <w:i/>
      <w:iCs/>
      <w:color w:val="00703C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64F"/>
    <w:rPr>
      <w:rFonts w:eastAsiaTheme="majorEastAsia" w:cstheme="majorBidi"/>
      <w:i/>
      <w:iCs/>
      <w:color w:val="00703C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6E1A"/>
    <w:rPr>
      <w:rFonts w:eastAsiaTheme="majorEastAsia" w:cstheme="majorBidi"/>
      <w:b/>
      <w:bCs/>
      <w:color w:val="00532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6E6D"/>
    <w:rPr>
      <w:rFonts w:eastAsiaTheme="majorEastAsia" w:cstheme="majorBidi"/>
      <w:b/>
      <w:bCs/>
      <w:color w:val="00703C" w:themeColor="accent1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FA064F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FA064F"/>
    <w:pPr>
      <w:ind w:left="720"/>
    </w:pPr>
    <w:rPr>
      <w:rFonts w:ascii="Calibri" w:hAnsi="Calibri" w:cs="Calibri"/>
    </w:rPr>
  </w:style>
  <w:style w:type="character" w:styleId="BookTitle">
    <w:name w:val="Book Title"/>
    <w:basedOn w:val="DefaultParagraphFont"/>
    <w:uiPriority w:val="33"/>
    <w:qFormat/>
    <w:rsid w:val="00FA064F"/>
    <w:rPr>
      <w:rFonts w:asciiTheme="minorHAnsi" w:hAnsiTheme="minorHAnsi"/>
      <w:b/>
      <w:bCs/>
      <w:smallCaps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C6E1A"/>
    <w:pPr>
      <w:pBdr>
        <w:bottom w:val="single" w:sz="8" w:space="4" w:color="00703C" w:themeColor="accent1"/>
      </w:pBdr>
      <w:spacing w:after="300"/>
      <w:contextualSpacing/>
    </w:pPr>
    <w:rPr>
      <w:rFonts w:eastAsiaTheme="majorEastAsia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6E1A"/>
    <w:rPr>
      <w:rFonts w:eastAsiaTheme="majorEastAsia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01160"/>
    <w:rPr>
      <w:rFonts w:eastAsiaTheme="majorEastAsia" w:cstheme="majorBidi"/>
      <w:b/>
      <w:bCs/>
      <w:color w:val="4D9A77" w:themeColor="accent3"/>
      <w:sz w:val="20"/>
    </w:rPr>
  </w:style>
  <w:style w:type="paragraph" w:styleId="NormalWeb">
    <w:name w:val="Normal (Web)"/>
    <w:basedOn w:val="Normal"/>
    <w:uiPriority w:val="99"/>
    <w:unhideWhenUsed/>
    <w:rsid w:val="009718C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reverse-mortgagecontent">
    <w:name w:val="reverse-mortgage__content"/>
    <w:basedOn w:val="Normal"/>
    <w:rsid w:val="00E96CEB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96C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EB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E96CEB"/>
    <w:rPr>
      <w:b/>
      <w:bCs/>
    </w:rPr>
  </w:style>
  <w:style w:type="paragraph" w:customStyle="1" w:styleId="story-paragraph">
    <w:name w:val="story-paragraph"/>
    <w:basedOn w:val="Normal"/>
    <w:rsid w:val="00F0498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498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980"/>
    <w:rPr>
      <w:rFonts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F04980"/>
    <w:rPr>
      <w:vertAlign w:val="superscript"/>
    </w:rPr>
  </w:style>
  <w:style w:type="table" w:styleId="TableGrid">
    <w:name w:val="Table Grid"/>
    <w:basedOn w:val="TableNormal"/>
    <w:uiPriority w:val="59"/>
    <w:rsid w:val="0055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4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48C"/>
    <w:rPr>
      <w:rFonts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48C"/>
    <w:rPr>
      <w:rFonts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36">
          <w:marLeft w:val="326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80">
          <w:marLeft w:val="326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Heartland">
      <a:dk1>
        <a:srgbClr val="000000"/>
      </a:dk1>
      <a:lt1>
        <a:sysClr val="window" lastClr="FFFFFF"/>
      </a:lt1>
      <a:dk2>
        <a:srgbClr val="333333"/>
      </a:dk2>
      <a:lt2>
        <a:srgbClr val="F2F2F2"/>
      </a:lt2>
      <a:accent1>
        <a:srgbClr val="00703C"/>
      </a:accent1>
      <a:accent2>
        <a:srgbClr val="DC1C38"/>
      </a:accent2>
      <a:accent3>
        <a:srgbClr val="4D9A77"/>
      </a:accent3>
      <a:accent4>
        <a:srgbClr val="E9E5DA"/>
      </a:accent4>
      <a:accent5>
        <a:srgbClr val="0C2340"/>
      </a:accent5>
      <a:accent6>
        <a:srgbClr val="009DDB"/>
      </a:accent6>
      <a:hlink>
        <a:srgbClr val="CF7B24"/>
      </a:hlink>
      <a:folHlink>
        <a:srgbClr val="4416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F2DEA8A534D468384F6CA9BF9B338" ma:contentTypeVersion="13" ma:contentTypeDescription="Create a new document." ma:contentTypeScope="" ma:versionID="dc4a76855640923cbb43eac8324a3103">
  <xsd:schema xmlns:xsd="http://www.w3.org/2001/XMLSchema" xmlns:xs="http://www.w3.org/2001/XMLSchema" xmlns:p="http://schemas.microsoft.com/office/2006/metadata/properties" xmlns:ns2="0e81c8de-2c19-4ab6-b03b-a064c2b19321" xmlns:ns3="3a18e274-59cc-4d3f-bc43-47eef1c70e90" xmlns:ns4="f59b2794-cbaa-48fe-a107-2e794dd59df9" targetNamespace="http://schemas.microsoft.com/office/2006/metadata/properties" ma:root="true" ma:fieldsID="94b7c66e88f2a0116c110ef36ddbd474" ns2:_="" ns3:_="" ns4:_="">
    <xsd:import namespace="0e81c8de-2c19-4ab6-b03b-a064c2b19321"/>
    <xsd:import namespace="3a18e274-59cc-4d3f-bc43-47eef1c70e90"/>
    <xsd:import namespace="f59b2794-cbaa-48fe-a107-2e794dd59d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TaxCatchAll" minOccurs="0"/>
                <xsd:element ref="ns3:MediaServiceObjectDetectorVersion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c8de-2c19-4ab6-b03b-a064c2b19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8e274-59cc-4d3f-bc43-47eef1c70e9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9444fb-7db4-4607-8ec8-d8e1148f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b2794-cbaa-48fe-a107-2e794dd59d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5c4842-be95-4f45-9e6d-1550fb1479cd}" ma:internalName="TaxCatchAll" ma:readOnly="false" ma:showField="CatchAllData" ma:web="f59b2794-cbaa-48fe-a107-2e794dd5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9b2794-cbaa-48fe-a107-2e794dd59df9" xsi:nil="true"/>
    <lcf76f155ced4ddcb4097134ff3c332f xmlns="3a18e274-59cc-4d3f-bc43-47eef1c70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FA64E3-7EF8-4D8D-844B-2B6DF6CE8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384C8-3EE9-427A-9CA4-E08FE35B1695}"/>
</file>

<file path=customXml/itemProps3.xml><?xml version="1.0" encoding="utf-8"?>
<ds:datastoreItem xmlns:ds="http://schemas.openxmlformats.org/officeDocument/2006/customXml" ds:itemID="{15015C0D-6451-4A68-BC3A-652132382AF3}"/>
</file>

<file path=customXml/itemProps4.xml><?xml version="1.0" encoding="utf-8"?>
<ds:datastoreItem xmlns:ds="http://schemas.openxmlformats.org/officeDocument/2006/customXml" ds:itemID="{B36ECFD1-4473-4D0E-A7C3-FA1BEBA41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1995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Moss</dc:creator>
  <cp:lastModifiedBy>Rachel Ali</cp:lastModifiedBy>
  <cp:revision>9</cp:revision>
  <cp:lastPrinted>2019-04-05T00:42:00Z</cp:lastPrinted>
  <dcterms:created xsi:type="dcterms:W3CDTF">2019-05-07T22:27:00Z</dcterms:created>
  <dcterms:modified xsi:type="dcterms:W3CDTF">2024-05-17T01:18:00Z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0x01010033BF2DEA8A534D468384F6CA9BF9B338</vt:lpwstr>
  </property>
</Properties>
</file>